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D982" w14:textId="129E6597" w:rsidR="006F11F0" w:rsidRPr="00A53113" w:rsidRDefault="006F11F0" w:rsidP="004D425F">
      <w:pPr>
        <w:spacing w:after="100" w:afterAutospacing="1" w:line="240" w:lineRule="auto"/>
        <w:jc w:val="both"/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</w:pP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A partire dal giorno 8 gennaio 2025 </w:t>
      </w:r>
      <w:r w:rsidR="00E55DB6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fino al </w:t>
      </w:r>
      <w:r w:rsidR="009F4EAF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31</w:t>
      </w:r>
      <w:r w:rsidR="00E55DB6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gennaio 2025 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sarà possibile presentare l’ISEE </w:t>
      </w:r>
      <w:r w:rsidR="007D57D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2025 ordinario o corrente, 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per garantire</w:t>
      </w:r>
      <w:r w:rsidR="007D57D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a tutti gli utenti dei servizi trasporto e refezione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l’aggiornamento</w:t>
      </w:r>
      <w:r w:rsidR="007D57D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delle tariffe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alle nuove fasce ISEE di seguito dettagliate ed inoltre</w:t>
      </w:r>
      <w:r w:rsidR="004B3A93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,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dalla stessa data</w:t>
      </w:r>
      <w:r w:rsidR="004B3A93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,</w:t>
      </w: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 xml:space="preserve"> sono aperte le iscrizioni ai servizi di trasporto e mensa scolastica relativi all’anno scolastico 2025/2026</w:t>
      </w:r>
      <w:r w:rsidR="007D57D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u w:val="single"/>
          <w:lang w:eastAsia="it-IT"/>
          <w14:ligatures w14:val="none"/>
        </w:rPr>
        <w:t>.</w:t>
      </w:r>
    </w:p>
    <w:p w14:paraId="0548A955" w14:textId="6FE827B1" w:rsidR="00A53113" w:rsidRPr="00A53113" w:rsidRDefault="007D57D7" w:rsidP="00B508D4">
      <w:pPr>
        <w:spacing w:after="100" w:afterAutospacing="1" w:line="240" w:lineRule="auto"/>
        <w:jc w:val="both"/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Si precisa che, </w:t>
      </w:r>
      <w:r w:rsidR="006212F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per tutto il mese di Gennaio </w:t>
      </w:r>
      <w:proofErr w:type="spellStart"/>
      <w:r w:rsidR="006212F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>ComunicApp</w:t>
      </w:r>
      <w:proofErr w:type="spellEnd"/>
      <w:r w:rsidR="006212F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sarà in aggiornamento,</w:t>
      </w:r>
      <w:r w:rsidR="00F911DF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="006212F7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>pertanto</w:t>
      </w:r>
      <w:r w:rsidR="00B508D4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le nuove ricariche che saranno effettuate verranno visualizzate dagli utenti dalla data del 1</w:t>
      </w:r>
      <w:r w:rsidR="00495B2D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0 </w:t>
      </w:r>
      <w:r w:rsidR="00B508D4" w:rsidRPr="00A53113">
        <w:rPr>
          <w:rFonts w:ascii="Lora" w:eastAsia="Times New Roman" w:hAnsi="Lora" w:cs="Times New Roman"/>
          <w:b/>
          <w:bCs/>
          <w:kern w:val="0"/>
          <w:sz w:val="32"/>
          <w:szCs w:val="32"/>
          <w:lang w:eastAsia="it-IT"/>
          <w14:ligatures w14:val="none"/>
        </w:rPr>
        <w:t>febbraio 2025 in linea con le tariffe aggiornate e con il relativo SALDO.</w:t>
      </w:r>
    </w:p>
    <w:p w14:paraId="629AA46A" w14:textId="2D348674" w:rsidR="00723246" w:rsidRPr="00E55DB6" w:rsidRDefault="00723246" w:rsidP="00723246">
      <w:pPr>
        <w:spacing w:after="100" w:afterAutospacing="1" w:line="240" w:lineRule="auto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COSTO DEL BUONO PASTO</w:t>
      </w:r>
      <w:r w:rsidR="00D174F9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/ </w:t>
      </w:r>
      <w:r w:rsidR="00D174F9" w:rsidRPr="004F41C8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COSTO DEL TRASPORTO</w:t>
      </w:r>
    </w:p>
    <w:p w14:paraId="61A256A4" w14:textId="534EFACF" w:rsidR="00723246" w:rsidRDefault="00723246" w:rsidP="009F4EAF">
      <w:pPr>
        <w:spacing w:after="100" w:afterAutospacing="1" w:line="240" w:lineRule="auto"/>
        <w:jc w:val="both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bookmarkStart w:id="0" w:name="_Hlk184291566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• il costo del singolo buono pasto</w:t>
      </w:r>
      <w:r w:rsidR="00D174F9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e il costo del trasporto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per il corrente anno scolastico 2024/25, così come stabilito con Delibera di G.C. n. </w:t>
      </w:r>
      <w:r w:rsidR="00B86381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223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del 2</w:t>
      </w:r>
      <w:r w:rsidR="00B86381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1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/</w:t>
      </w:r>
      <w:r w:rsidR="00B86381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11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/2024 è di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D174F9" w14:paraId="686E7FEA" w14:textId="77777777">
        <w:trPr>
          <w:trHeight w:val="476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A766DD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CONTRIBUZIONE UTENTI Anno Solare 2025 FASCE ISEE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2226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VALORI ISEE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D7A8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QUOTA MENSA </w:t>
            </w:r>
          </w:p>
          <w:p w14:paraId="22A2ECC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1° FIGLIO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276A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QUOTA MENSA </w:t>
            </w:r>
          </w:p>
          <w:p w14:paraId="5F6F58E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2° FIGLIO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3A85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QUOTA TRASPORTO </w:t>
            </w:r>
          </w:p>
          <w:p w14:paraId="004E9B9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1° FIGLIO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B4360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QUOTA TRASPORTO </w:t>
            </w:r>
          </w:p>
          <w:p w14:paraId="368A0855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2° FIGLIO </w:t>
            </w:r>
          </w:p>
        </w:tc>
      </w:tr>
      <w:tr w:rsidR="00D174F9" w14:paraId="048D7D64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2E287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28197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€0,00 </w:t>
            </w:r>
          </w:p>
          <w:p w14:paraId="79C27883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€ 4.000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620C4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Esente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3DDA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Esente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C84A6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Esente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49BABC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Esente </w:t>
            </w:r>
          </w:p>
        </w:tc>
      </w:tr>
      <w:tr w:rsidR="00D174F9" w14:paraId="24692463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10168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E37E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€4.000,01 </w:t>
            </w:r>
          </w:p>
          <w:p w14:paraId="7CF2C213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€8.000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C3F1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€ 1,20 </w:t>
            </w:r>
          </w:p>
          <w:p w14:paraId="58DD870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14B44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€ 0,60 </w:t>
            </w:r>
          </w:p>
          <w:p w14:paraId="72014CFC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3653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€ 4,00 </w:t>
            </w:r>
          </w:p>
          <w:p w14:paraId="327EF0F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EFACA4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€ 2,00 </w:t>
            </w:r>
          </w:p>
          <w:p w14:paraId="67BEF926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  <w:tr w:rsidR="00D174F9" w14:paraId="6314BC5A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A5ADEC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E2D46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€8.000,01 </w:t>
            </w:r>
          </w:p>
          <w:p w14:paraId="7DEB97B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€12.000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7432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€ 1,80 </w:t>
            </w:r>
          </w:p>
          <w:p w14:paraId="4748381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B922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€ 0,90 </w:t>
            </w:r>
          </w:p>
          <w:p w14:paraId="4343DCC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9B7F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€ 6,00 </w:t>
            </w:r>
          </w:p>
          <w:p w14:paraId="6193CB0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E1E519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€ 3,00 </w:t>
            </w:r>
          </w:p>
          <w:p w14:paraId="5E1EEA7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  <w:tr w:rsidR="00D174F9" w14:paraId="7638851D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8AB797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1EF1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€12.000,01 </w:t>
            </w:r>
          </w:p>
          <w:p w14:paraId="6E2E8AB7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€16.000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C794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€ 2,40 </w:t>
            </w:r>
          </w:p>
          <w:p w14:paraId="4A14864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15A6C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€ 1,20 </w:t>
            </w:r>
          </w:p>
          <w:p w14:paraId="67A68CE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E93C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€ 8,00 </w:t>
            </w:r>
          </w:p>
          <w:p w14:paraId="6898A924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9DBE24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€ 4,00 </w:t>
            </w:r>
          </w:p>
          <w:p w14:paraId="159452C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  <w:tr w:rsidR="00D174F9" w14:paraId="0FF54F08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57AE2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121D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€16.000,01 </w:t>
            </w:r>
          </w:p>
          <w:p w14:paraId="4B3C82A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€20.000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C63E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€ 3,00 </w:t>
            </w:r>
          </w:p>
          <w:p w14:paraId="38419A11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04F79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€ 1,50 </w:t>
            </w:r>
          </w:p>
          <w:p w14:paraId="37B5B1DE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5747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€ 10,00 </w:t>
            </w:r>
          </w:p>
          <w:p w14:paraId="45025C9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A5DDE7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€ 500 </w:t>
            </w:r>
          </w:p>
          <w:p w14:paraId="243E956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  <w:tr w:rsidR="00D174F9" w14:paraId="09D311A9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E5A08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B29FE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 €20.000,01 </w:t>
            </w:r>
          </w:p>
          <w:p w14:paraId="2296A06F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€24.000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8DC8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€ 3,60 </w:t>
            </w:r>
          </w:p>
          <w:p w14:paraId="0F6CE1C3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DC0D7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€ 2,40 </w:t>
            </w:r>
          </w:p>
          <w:p w14:paraId="137BF17E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C2C25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€ 12,00 </w:t>
            </w:r>
          </w:p>
          <w:p w14:paraId="436631DA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934AB1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€ 6,00 </w:t>
            </w:r>
          </w:p>
          <w:p w14:paraId="27A5419E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  <w:tr w:rsidR="00D174F9" w14:paraId="3171B2A2" w14:textId="77777777">
        <w:trPr>
          <w:trHeight w:val="312"/>
        </w:trPr>
        <w:tc>
          <w:tcPr>
            <w:tcW w:w="162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5929E9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FASCIA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974E2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Oltre €24.000,01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5E683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€ 4,20 </w:t>
            </w:r>
          </w:p>
          <w:p w14:paraId="0B98D775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E48E6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€ 2,80 </w:t>
            </w:r>
          </w:p>
          <w:p w14:paraId="4A8F452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pasto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D6380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€ 18,00 </w:t>
            </w:r>
          </w:p>
          <w:p w14:paraId="1ABF2BD9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  <w:tc>
          <w:tcPr>
            <w:tcW w:w="16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01F189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€ 9,00 </w:t>
            </w:r>
          </w:p>
          <w:p w14:paraId="6C9BD61B" w14:textId="77777777" w:rsidR="00D174F9" w:rsidRDefault="00D17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mensili </w:t>
            </w:r>
          </w:p>
        </w:tc>
      </w:tr>
    </w:tbl>
    <w:bookmarkEnd w:id="0"/>
    <w:p w14:paraId="322BB54F" w14:textId="77777777" w:rsidR="007A495A" w:rsidRDefault="00723246" w:rsidP="00723246">
      <w:pPr>
        <w:spacing w:after="100" w:afterAutospacing="1" w:line="240" w:lineRule="auto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Di conferma</w:t>
      </w:r>
      <w:r w:rsidR="002511EC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re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le seguenti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agevolazioni:</w:t>
      </w:r>
    </w:p>
    <w:p w14:paraId="5506B758" w14:textId="3C7857AE" w:rsidR="007A495A" w:rsidRPr="007A495A" w:rsidRDefault="007A495A" w:rsidP="007A495A">
      <w:pPr>
        <w:pStyle w:val="Paragrafoelenco"/>
        <w:numPr>
          <w:ilvl w:val="0"/>
          <w:numId w:val="4"/>
        </w:numPr>
        <w:spacing w:after="100" w:afterAutospacing="1" w:line="240" w:lineRule="auto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Di confermare l’esenzione totale dal costo per il 3’ e 4’ figlio per le fasce ISEE da 0€ ad </w:t>
      </w:r>
      <w:r w:rsidR="00FD328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€ </w:t>
      </w:r>
      <w:r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20.000,00 e cioè per le fasce dalla n.1 alla n.5;</w:t>
      </w:r>
    </w:p>
    <w:p w14:paraId="0F4E629D" w14:textId="5601D866" w:rsidR="007A495A" w:rsidRPr="007A495A" w:rsidRDefault="007A495A" w:rsidP="007A495A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Di prevedere l’esenzione totale dal costo per il 3’ figlio e del 70% d</w:t>
      </w:r>
      <w:r w:rsidR="00C325CF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e</w:t>
      </w:r>
      <w:r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l costo del 4’ figlio per la fascia di ISEE da € 24.000,00 e cioè per la 6’ Fascia;</w:t>
      </w:r>
    </w:p>
    <w:p w14:paraId="0414A597" w14:textId="14EDEC1E" w:rsidR="002511EC" w:rsidRPr="007A495A" w:rsidRDefault="007A495A" w:rsidP="007A495A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Di prevedere l’esenzione del 50% dal costo per il 3’ figlio </w:t>
      </w:r>
      <w:r w:rsidR="008752DA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e del 50% per il 4’ figlio per la fascia di ISEE da € 24.000,01 in poi e cioè per la 7’ fascia;</w:t>
      </w:r>
    </w:p>
    <w:p w14:paraId="0783A660" w14:textId="77777777" w:rsidR="00723246" w:rsidRPr="00723246" w:rsidRDefault="00723246" w:rsidP="00A53113">
      <w:pPr>
        <w:spacing w:after="100" w:afterAutospacing="1" w:line="240" w:lineRule="auto"/>
        <w:jc w:val="both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Di confermare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l’esenzione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 dal pagamento delle tariffe per quanti siano segnalati dal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Servizio Sociale territoriale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, nonché per i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minori disabili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 o per i minori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con malattie alimentari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 comprovate da idonea certificazione;</w:t>
      </w:r>
    </w:p>
    <w:p w14:paraId="6092615A" w14:textId="676FBBE7" w:rsidR="00723246" w:rsidRDefault="00723246" w:rsidP="00A53113">
      <w:pPr>
        <w:spacing w:after="100" w:afterAutospacing="1" w:line="240" w:lineRule="auto"/>
        <w:jc w:val="both"/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Di dare atto che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coloro che non presentano l’ISEE saranno inseriti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 nella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FASCIA n. </w:t>
      </w:r>
      <w:r w:rsidR="009D063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7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;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  <w:t>Di dare atto che </w:t>
      </w: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non opera il cumulo delle esenzioni e agevolazioni.</w:t>
      </w:r>
    </w:p>
    <w:p w14:paraId="5098237D" w14:textId="4F289718" w:rsidR="008752DA" w:rsidRPr="00B508D4" w:rsidRDefault="008752DA" w:rsidP="00A53113">
      <w:pPr>
        <w:spacing w:after="100" w:afterAutospacing="1" w:line="240" w:lineRule="auto"/>
        <w:jc w:val="both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Di stabilire che per poter usufruire della riduzione del 10% sulla tariffa per il servizio di trasporto scolastico</w:t>
      </w:r>
      <w:r w:rsidR="00B508D4"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2025/2026</w:t>
      </w:r>
      <w:r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, occorre</w:t>
      </w:r>
      <w:r w:rsidR="00B508D4"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rà</w:t>
      </w:r>
      <w:r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versare l’intera tariffa dovuta per l’anno scolastico entro il termine del </w:t>
      </w:r>
      <w:r w:rsidR="009F4EAF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31</w:t>
      </w:r>
      <w:r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F4EAF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gennaio</w:t>
      </w:r>
      <w:r w:rsidRPr="00B508D4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2025</w:t>
      </w:r>
      <w:r w:rsidR="00A5311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AADA78A" w14:textId="77777777" w:rsidR="00723246" w:rsidRPr="00723246" w:rsidRDefault="00723246" w:rsidP="00A53113">
      <w:pPr>
        <w:spacing w:after="100" w:afterAutospacing="1" w:line="240" w:lineRule="auto"/>
        <w:jc w:val="both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SISTEMA E MODALITA' ACQUISTO BUONI PASTO VIRTUALE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: Il pagamento della quota di contribuzione per l'acquisto dei buoni pasto virtuali potrà essere effettuato come da manuale istruzione allegato.</w:t>
      </w:r>
    </w:p>
    <w:p w14:paraId="01B0F940" w14:textId="7E7194A1" w:rsidR="00723246" w:rsidRPr="00723246" w:rsidRDefault="00723246" w:rsidP="00A53113">
      <w:pPr>
        <w:spacing w:after="100" w:afterAutospacing="1" w:line="240" w:lineRule="auto"/>
        <w:jc w:val="both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COME COMUNICARE L’ASSENZA: 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La comunicazione dell’assenza può essere effettuata ESCLUSIVAMENTE DAI GENITORI attraverso i seguenti canali: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</w:r>
      <w:r w:rsidR="00A5311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-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Tramite PC da Portale Genitori, disponibile all’indirizzo internet indicato nella LETTERA CODICI E CREDENZIALI (https://www1.itcloudweb.com/</w:t>
      </w:r>
      <w:proofErr w:type="spellStart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ginosaportalegen</w:t>
      </w:r>
      <w:proofErr w:type="spellEnd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/).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sym w:font="Symbol" w:char="F0D8"/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Tramite chiamata con Voce Guida da telefono fisso o cellulare ai numeri riportati nella LETTERA CODICI E CREDENZIALI (numero verde di disdetta telefonica:800090563/ numero disdetta da cellulari:0281260348).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sym w:font="Symbol" w:char="F0D8"/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Tramite APP “</w:t>
      </w:r>
      <w:proofErr w:type="spellStart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ComunicApp</w:t>
      </w:r>
      <w:proofErr w:type="spellEnd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” compatibile con la maggior parte dei dispositivi iOS e ANDROID, e scaricabile dallo Store del proprio Cellulare e/o Tablet. Si precisa che l’APP non è supportata su iPad per sistemi </w:t>
      </w:r>
      <w:proofErr w:type="spellStart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iOs</w:t>
      </w:r>
      <w:proofErr w:type="spellEnd"/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e non è disponibile su dispositivi Windows Phone.</w:t>
      </w:r>
    </w:p>
    <w:p w14:paraId="7D56CB69" w14:textId="77777777" w:rsidR="00723246" w:rsidRPr="00723246" w:rsidRDefault="00723246" w:rsidP="00723246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b/>
          <w:bCs/>
          <w:kern w:val="0"/>
          <w:sz w:val="24"/>
          <w:szCs w:val="24"/>
          <w:lang w:eastAsia="it-IT"/>
          <w14:ligatures w14:val="none"/>
        </w:rPr>
        <w:t>La comunicazione di assenza dovrà essere inviata dalle ore 18:00 del giorno precedente alle ore 09:30. Le eventuali disdette inviate in ritardo non saranno processate e daranno luogo all’addebito automatico del pasto.</w:t>
      </w:r>
    </w:p>
    <w:p w14:paraId="05C68013" w14:textId="77777777" w:rsidR="00723246" w:rsidRPr="00723246" w:rsidRDefault="00723246" w:rsidP="00723246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Per approfondimenti e chiarimenti sulle modalità di utilizzo del nuovo portale leggere attentamente il MODULO DI UTILIZZO allegato al presente avviso.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  <w:t>Per informazioni rivolgersi all’Ufficio Pubblica Istruzione del Comune di Ginosa. Pubblica Istruzione Mensa: 0998290223 (DIVINCENZO)</w:t>
      </w:r>
    </w:p>
    <w:p w14:paraId="2B2C05F0" w14:textId="77777777" w:rsidR="00723246" w:rsidRPr="00723246" w:rsidRDefault="00723246" w:rsidP="004D425F">
      <w:pPr>
        <w:spacing w:after="100" w:afterAutospacing="1" w:line="240" w:lineRule="auto"/>
        <w:jc w:val="right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IL FUNZIONARIO RESPONSABILE II SETTORE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  <w:t>UFFICIO PUBBLICA ISTRUZIONE</w:t>
      </w:r>
      <w:r w:rsidRPr="00723246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br/>
        <w:t>AVV. GIOVANNI PICARO</w:t>
      </w:r>
    </w:p>
    <w:p w14:paraId="5D0B3538" w14:textId="77777777" w:rsidR="00ED18BC" w:rsidRDefault="00ED18BC"/>
    <w:sectPr w:rsidR="00ED1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6100"/>
    <w:multiLevelType w:val="hybridMultilevel"/>
    <w:tmpl w:val="509CC654"/>
    <w:lvl w:ilvl="0" w:tplc="BE043B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514"/>
    <w:multiLevelType w:val="hybridMultilevel"/>
    <w:tmpl w:val="42540A0C"/>
    <w:lvl w:ilvl="0" w:tplc="9E4A2888">
      <w:start w:val="7"/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4C2E"/>
    <w:multiLevelType w:val="hybridMultilevel"/>
    <w:tmpl w:val="958CB008"/>
    <w:lvl w:ilvl="0" w:tplc="EE188FBC">
      <w:start w:val="7"/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715F3"/>
    <w:multiLevelType w:val="hybridMultilevel"/>
    <w:tmpl w:val="42D077DA"/>
    <w:lvl w:ilvl="0" w:tplc="F7A659B8">
      <w:start w:val="7"/>
      <w:numFmt w:val="bullet"/>
      <w:lvlText w:val="-"/>
      <w:lvlJc w:val="left"/>
      <w:pPr>
        <w:ind w:left="72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31BA"/>
    <w:multiLevelType w:val="hybridMultilevel"/>
    <w:tmpl w:val="CF00E1C2"/>
    <w:lvl w:ilvl="0" w:tplc="5FD4B1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76518">
    <w:abstractNumId w:val="3"/>
  </w:num>
  <w:num w:numId="2" w16cid:durableId="2098744668">
    <w:abstractNumId w:val="2"/>
  </w:num>
  <w:num w:numId="3" w16cid:durableId="1183545484">
    <w:abstractNumId w:val="0"/>
  </w:num>
  <w:num w:numId="4" w16cid:durableId="1881086195">
    <w:abstractNumId w:val="1"/>
  </w:num>
  <w:num w:numId="5" w16cid:durableId="162025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6"/>
    <w:rsid w:val="0015686A"/>
    <w:rsid w:val="001B5EA0"/>
    <w:rsid w:val="0024033E"/>
    <w:rsid w:val="002511EC"/>
    <w:rsid w:val="00374CD5"/>
    <w:rsid w:val="00495B2D"/>
    <w:rsid w:val="004B3A93"/>
    <w:rsid w:val="004D425F"/>
    <w:rsid w:val="004F41C8"/>
    <w:rsid w:val="006212F7"/>
    <w:rsid w:val="006308B1"/>
    <w:rsid w:val="00641886"/>
    <w:rsid w:val="006F11F0"/>
    <w:rsid w:val="007126E0"/>
    <w:rsid w:val="00723246"/>
    <w:rsid w:val="007A495A"/>
    <w:rsid w:val="007C16E9"/>
    <w:rsid w:val="007D26BD"/>
    <w:rsid w:val="007D57D7"/>
    <w:rsid w:val="008752DA"/>
    <w:rsid w:val="00961377"/>
    <w:rsid w:val="009D0636"/>
    <w:rsid w:val="009F4EAF"/>
    <w:rsid w:val="00A53113"/>
    <w:rsid w:val="00A534D5"/>
    <w:rsid w:val="00AD601F"/>
    <w:rsid w:val="00B508D4"/>
    <w:rsid w:val="00B85CF8"/>
    <w:rsid w:val="00B86381"/>
    <w:rsid w:val="00BD214C"/>
    <w:rsid w:val="00C0180E"/>
    <w:rsid w:val="00C325CF"/>
    <w:rsid w:val="00C75338"/>
    <w:rsid w:val="00CA6485"/>
    <w:rsid w:val="00D174F9"/>
    <w:rsid w:val="00DD604B"/>
    <w:rsid w:val="00E55DB6"/>
    <w:rsid w:val="00E75489"/>
    <w:rsid w:val="00ED18BC"/>
    <w:rsid w:val="00EE2F2E"/>
    <w:rsid w:val="00F32663"/>
    <w:rsid w:val="00F45426"/>
    <w:rsid w:val="00F911DF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9F43"/>
  <w15:chartTrackingRefBased/>
  <w15:docId w15:val="{71C14B40-BEE6-43AE-980D-6990E2D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95A"/>
    <w:pPr>
      <w:ind w:left="720"/>
      <w:contextualSpacing/>
    </w:pPr>
  </w:style>
  <w:style w:type="paragraph" w:customStyle="1" w:styleId="Default">
    <w:name w:val="Default"/>
    <w:rsid w:val="00D174F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CG-RAND-DG</dc:creator>
  <cp:keywords/>
  <dc:description/>
  <cp:lastModifiedBy>CG-RAND-DG</cp:lastModifiedBy>
  <cp:revision>3</cp:revision>
  <cp:lastPrinted>2024-12-18T09:38:00Z</cp:lastPrinted>
  <dcterms:created xsi:type="dcterms:W3CDTF">2024-12-23T09:32:00Z</dcterms:created>
  <dcterms:modified xsi:type="dcterms:W3CDTF">2024-12-23T10:58:00Z</dcterms:modified>
</cp:coreProperties>
</file>